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A3602" w14:textId="4A30C4FD" w:rsidR="001E0084" w:rsidRDefault="001E0084" w:rsidP="001E0084">
      <w:r>
        <w:t xml:space="preserve">AAN: De Raad van De Ronde Venen </w:t>
      </w:r>
    </w:p>
    <w:p w14:paraId="2681F1DA" w14:textId="2999C53C" w:rsidR="001E0084" w:rsidRDefault="001E0084" w:rsidP="001E0084">
      <w:r>
        <w:t>VAN: Ernst Schreurs en Wim Stam</w:t>
      </w:r>
    </w:p>
    <w:p w14:paraId="1D85E7E2" w14:textId="52C7F81C" w:rsidR="001E0084" w:rsidRDefault="001E0084" w:rsidP="001E0084">
      <w:r>
        <w:t xml:space="preserve">DATUM: </w:t>
      </w:r>
      <w:r w:rsidR="003948ED">
        <w:t>2</w:t>
      </w:r>
      <w:r w:rsidR="008A676D">
        <w:t>1</w:t>
      </w:r>
      <w:r w:rsidR="009357DC">
        <w:t>-5-2025</w:t>
      </w:r>
    </w:p>
    <w:p w14:paraId="2A8307CB" w14:textId="2F7FC086" w:rsidR="001E0084" w:rsidRPr="001E0084" w:rsidRDefault="001E0084" w:rsidP="001E0084">
      <w:pPr>
        <w:pBdr>
          <w:top w:val="single" w:sz="4" w:space="1" w:color="auto"/>
          <w:left w:val="single" w:sz="4" w:space="4" w:color="auto"/>
          <w:bottom w:val="single" w:sz="4" w:space="1" w:color="auto"/>
          <w:right w:val="single" w:sz="4" w:space="4" w:color="auto"/>
        </w:pBdr>
        <w:rPr>
          <w:b/>
          <w:bCs/>
        </w:rPr>
      </w:pPr>
      <w:r>
        <w:t xml:space="preserve">BETREFT: </w:t>
      </w:r>
      <w:r w:rsidR="009357DC">
        <w:rPr>
          <w:b/>
          <w:bCs/>
        </w:rPr>
        <w:t>Ontwerpbegroting 2026 / Toekomstvisie SGL</w:t>
      </w:r>
      <w:r w:rsidRPr="001E0084">
        <w:rPr>
          <w:b/>
          <w:bCs/>
        </w:rPr>
        <w:t xml:space="preserve"> </w:t>
      </w:r>
    </w:p>
    <w:p w14:paraId="3830889C" w14:textId="6459047C" w:rsidR="001E0084" w:rsidRDefault="00421021" w:rsidP="001E0084">
      <w:r>
        <w:t xml:space="preserve">In de achterliggende weken hebben we </w:t>
      </w:r>
      <w:r w:rsidR="003E2B17">
        <w:t xml:space="preserve">de genoemde stukken doorgenomen, inhoudelijke vragen voorgelegd aan de </w:t>
      </w:r>
      <w:r w:rsidR="001E0084">
        <w:t xml:space="preserve">behandelend ambtenaar mevrouw </w:t>
      </w:r>
      <w:r w:rsidR="003A2AEB">
        <w:t>Céline Schreurs en onze bevindingen vastgelegd in dit rapport</w:t>
      </w:r>
      <w:r w:rsidR="001E0084">
        <w:t>.</w:t>
      </w:r>
    </w:p>
    <w:p w14:paraId="058656F6" w14:textId="5D3B6261" w:rsidR="001E0084" w:rsidRDefault="001E0084" w:rsidP="001E0084">
      <w:r>
        <w:t>We hebben in dit verband ook de concept zienswijze van het college beoordeeld.</w:t>
      </w:r>
      <w:r w:rsidR="00340752">
        <w:t xml:space="preserve"> </w:t>
      </w:r>
      <w:r>
        <w:t>De raadsrapporteurs onderschrijven de genoemde punten.</w:t>
      </w:r>
    </w:p>
    <w:p w14:paraId="04E50D63" w14:textId="7D2A2CD7" w:rsidR="001E0084" w:rsidRDefault="009A2538" w:rsidP="001E0084">
      <w:r>
        <w:t>N</w:t>
      </w:r>
      <w:r w:rsidR="001E0084">
        <w:t>aar aanleiding van de stukken, merken we ook het volgende op.</w:t>
      </w:r>
    </w:p>
    <w:p w14:paraId="2A863BFC" w14:textId="32A5EB7C" w:rsidR="00340752" w:rsidRPr="00340752" w:rsidRDefault="00340752" w:rsidP="001E0084">
      <w:pPr>
        <w:rPr>
          <w:b/>
          <w:bCs/>
        </w:rPr>
      </w:pPr>
      <w:r w:rsidRPr="00340752">
        <w:rPr>
          <w:b/>
          <w:bCs/>
        </w:rPr>
        <w:t>Aanbiedingsbrief</w:t>
      </w:r>
    </w:p>
    <w:p w14:paraId="45064E7D" w14:textId="016FFAFD" w:rsidR="00340752" w:rsidRDefault="0011462F" w:rsidP="00340752">
      <w:r>
        <w:t>De aanbiedingsbrief schets</w:t>
      </w:r>
      <w:r w:rsidR="006D420E">
        <w:t>t</w:t>
      </w:r>
      <w:r>
        <w:t xml:space="preserve"> in een notendop de </w:t>
      </w:r>
      <w:r w:rsidR="006759C4">
        <w:t>moeilijke financiële positie van SGL</w:t>
      </w:r>
      <w:r w:rsidR="00340752">
        <w:t xml:space="preserve">. </w:t>
      </w:r>
      <w:r w:rsidR="006759C4">
        <w:t>Na het opzetten en doorrekenen van het Terrein Beheer Model blijkt dat me</w:t>
      </w:r>
      <w:r w:rsidR="006D420E">
        <w:t>n</w:t>
      </w:r>
      <w:r w:rsidR="006759C4">
        <w:t xml:space="preserve"> 2 miljoen te kort komt. </w:t>
      </w:r>
      <w:r w:rsidR="003E0A72">
        <w:t xml:space="preserve">Dat lost men op, na nog eens kritisch te kijken naar diverse posten </w:t>
      </w:r>
      <w:r w:rsidR="00C85BB3">
        <w:t>waarmee nog een aantal bezuinigingen zijn gevonden, door:</w:t>
      </w:r>
    </w:p>
    <w:p w14:paraId="0982596F" w14:textId="3FB4F5D0" w:rsidR="00C85BB3" w:rsidRDefault="00C85BB3" w:rsidP="003D756A">
      <w:pPr>
        <w:pStyle w:val="Lijstalinea"/>
        <w:numPr>
          <w:ilvl w:val="0"/>
          <w:numId w:val="4"/>
        </w:numPr>
        <w:spacing w:line="240" w:lineRule="auto"/>
        <w:ind w:left="714" w:hanging="357"/>
      </w:pPr>
      <w:r>
        <w:t>Een administratieve bezuiniging</w:t>
      </w:r>
      <w:r w:rsidR="0043131B">
        <w:t xml:space="preserve"> (1,2 miljoen)</w:t>
      </w:r>
    </w:p>
    <w:p w14:paraId="6A0183C8" w14:textId="2F6A3F5F" w:rsidR="0043131B" w:rsidRPr="008B3166" w:rsidRDefault="0043131B" w:rsidP="003D756A">
      <w:pPr>
        <w:pStyle w:val="Lijstalinea"/>
        <w:numPr>
          <w:ilvl w:val="0"/>
          <w:numId w:val="4"/>
        </w:numPr>
        <w:spacing w:line="240" w:lineRule="auto"/>
        <w:ind w:left="714" w:hanging="357"/>
      </w:pPr>
      <w:r>
        <w:t>Taakstellende bezuiniging (0,33 miljoen)</w:t>
      </w:r>
    </w:p>
    <w:p w14:paraId="630FE7F7" w14:textId="6C92CEA1" w:rsidR="003E66D2" w:rsidRPr="003E66D2" w:rsidRDefault="0043131B" w:rsidP="003E66D2">
      <w:r>
        <w:rPr>
          <w:b/>
          <w:bCs/>
        </w:rPr>
        <w:t>Ontwerpbegroting 2026</w:t>
      </w:r>
    </w:p>
    <w:p w14:paraId="1E4CB6B5" w14:textId="360AA315" w:rsidR="003E66D2" w:rsidRDefault="00F504E8" w:rsidP="003E66D2">
      <w:r>
        <w:t xml:space="preserve">Het inrichten van het beheer door SBB </w:t>
      </w:r>
      <w:r w:rsidR="007C2C81">
        <w:t xml:space="preserve">gaat moeizamer dan in aanvang gedacht. </w:t>
      </w:r>
      <w:r w:rsidR="00A97568">
        <w:t>Inmiddels heeft SBB het TBM (terrein beheer model) opgeleverd en de verwachting is</w:t>
      </w:r>
      <w:r w:rsidR="00BF7877">
        <w:t xml:space="preserve"> dat vanaf 2026 de transitie van RMN naar SBB is afgerond. Het heeft dan meer tijd gekost, maar </w:t>
      </w:r>
      <w:r w:rsidR="009D6973">
        <w:t xml:space="preserve">lijkt ons wel grondig te zijn opgepakt wat inzicht en transparantie moet bevorderen. </w:t>
      </w:r>
    </w:p>
    <w:p w14:paraId="40F5E1C5" w14:textId="2BA46618" w:rsidR="008427CC" w:rsidRDefault="008427CC" w:rsidP="003E66D2">
      <w:r>
        <w:t>Ten aanzien van de begroting merken we op:</w:t>
      </w:r>
    </w:p>
    <w:p w14:paraId="1B72E1C4" w14:textId="1FAA03F8" w:rsidR="008427CC" w:rsidRDefault="008427CC" w:rsidP="003D756A">
      <w:pPr>
        <w:pStyle w:val="Lijstalinea"/>
        <w:numPr>
          <w:ilvl w:val="0"/>
          <w:numId w:val="5"/>
        </w:numPr>
        <w:spacing w:line="240" w:lineRule="auto"/>
        <w:ind w:left="714" w:hanging="357"/>
      </w:pPr>
      <w:r>
        <w:t>Er is onvoldoende inzicht in de langjarige investeringsbehoefte</w:t>
      </w:r>
      <w:r w:rsidR="00917572">
        <w:t xml:space="preserve">. Dat maakt het lastig om </w:t>
      </w:r>
      <w:r w:rsidR="00B379B6">
        <w:t>de impact op de toekomstige financiering helder te hebben</w:t>
      </w:r>
      <w:r w:rsidR="0059508A">
        <w:t xml:space="preserve"> (zie ook de concept zienswijze)</w:t>
      </w:r>
      <w:r w:rsidR="00B379B6">
        <w:t>.</w:t>
      </w:r>
      <w:r w:rsidR="0059508A">
        <w:t xml:space="preserve"> </w:t>
      </w:r>
      <w:r w:rsidR="00B379B6">
        <w:t xml:space="preserve"> </w:t>
      </w:r>
    </w:p>
    <w:p w14:paraId="721C87C3" w14:textId="35389831" w:rsidR="008427CC" w:rsidRDefault="008427CC" w:rsidP="003D756A">
      <w:pPr>
        <w:pStyle w:val="Lijstalinea"/>
        <w:numPr>
          <w:ilvl w:val="0"/>
          <w:numId w:val="5"/>
        </w:numPr>
        <w:spacing w:line="240" w:lineRule="auto"/>
        <w:ind w:left="714" w:hanging="357"/>
      </w:pPr>
      <w:r>
        <w:t>De reserves en voorzieningen zijn onvoldoende</w:t>
      </w:r>
      <w:r w:rsidR="00BD629F">
        <w:t xml:space="preserve"> voor het afdekken van de noodzakelijke investeringen en onderhoudskosten</w:t>
      </w:r>
      <w:r>
        <w:t xml:space="preserve">, mede doordat we </w:t>
      </w:r>
      <w:r w:rsidR="00917572">
        <w:t xml:space="preserve">de afgelopen jaren de transitie voor een groot deel uit de reserves hebben gefinancierd. Men lost dat nu op met een “administratieve oplossing”, dat wil zeggen </w:t>
      </w:r>
      <w:r w:rsidR="00B379B6">
        <w:t xml:space="preserve">men gaat investeringen activeren, wat kapitaallasten in de toekomst geeft. </w:t>
      </w:r>
      <w:proofErr w:type="spellStart"/>
      <w:r w:rsidR="00B379B6">
        <w:t>Defacto</w:t>
      </w:r>
      <w:proofErr w:type="spellEnd"/>
      <w:r w:rsidR="00B379B6">
        <w:t xml:space="preserve"> worden de kosten dus naar de toekomst verschoven. </w:t>
      </w:r>
    </w:p>
    <w:p w14:paraId="02543179" w14:textId="4B5901E8" w:rsidR="00710186" w:rsidRDefault="00B27110" w:rsidP="003D756A">
      <w:pPr>
        <w:pStyle w:val="Lijstalinea"/>
        <w:numPr>
          <w:ilvl w:val="0"/>
          <w:numId w:val="5"/>
        </w:numPr>
        <w:spacing w:line="240" w:lineRule="auto"/>
        <w:ind w:left="714" w:hanging="357"/>
      </w:pPr>
      <w:r>
        <w:t xml:space="preserve">De taakstellende bezuiniging van ca € 330.000 (waarvan </w:t>
      </w:r>
      <w:r w:rsidR="00710186">
        <w:t xml:space="preserve">€ 112.500 voor SGL-B) </w:t>
      </w:r>
      <w:r w:rsidR="00273FEE">
        <w:t xml:space="preserve">is nog niet verder ingevuld; ons is onduidelijk hoe SGL die denkt te behalen en hoe realistisch dat is. </w:t>
      </w:r>
    </w:p>
    <w:p w14:paraId="37F674A6" w14:textId="22A07FD1" w:rsidR="0013473E" w:rsidRDefault="0013473E" w:rsidP="003D756A">
      <w:pPr>
        <w:pStyle w:val="Lijstalinea"/>
        <w:numPr>
          <w:ilvl w:val="0"/>
          <w:numId w:val="5"/>
        </w:numPr>
        <w:spacing w:line="240" w:lineRule="auto"/>
        <w:ind w:left="714" w:hanging="357"/>
      </w:pPr>
      <w:r>
        <w:t xml:space="preserve">Daarmee samenhangend, hoewel de </w:t>
      </w:r>
      <w:r w:rsidR="00086F9F">
        <w:t>ratio’s (</w:t>
      </w:r>
      <w:proofErr w:type="spellStart"/>
      <w:r w:rsidR="00086F9F">
        <w:t>pag</w:t>
      </w:r>
      <w:proofErr w:type="spellEnd"/>
      <w:r w:rsidR="00086F9F">
        <w:t xml:space="preserve"> 18 in de begroting) nog redelijk lijken, zien we wel dat de weerstandratio (zeker voor gebied B</w:t>
      </w:r>
      <w:r w:rsidR="004749B6">
        <w:t xml:space="preserve">; </w:t>
      </w:r>
      <w:proofErr w:type="spellStart"/>
      <w:r w:rsidR="004749B6">
        <w:t>pag</w:t>
      </w:r>
      <w:proofErr w:type="spellEnd"/>
      <w:r w:rsidR="004749B6">
        <w:t xml:space="preserve"> 17</w:t>
      </w:r>
      <w:r w:rsidR="00086F9F">
        <w:t xml:space="preserve">) ruim onvoldoende scoort. </w:t>
      </w:r>
    </w:p>
    <w:p w14:paraId="404C6E34" w14:textId="77777777" w:rsidR="00C666A2" w:rsidRDefault="009A0087" w:rsidP="003D756A">
      <w:pPr>
        <w:pStyle w:val="Lijstalinea"/>
        <w:numPr>
          <w:ilvl w:val="0"/>
          <w:numId w:val="5"/>
        </w:numPr>
        <w:spacing w:line="240" w:lineRule="auto"/>
        <w:ind w:left="714" w:hanging="357"/>
      </w:pPr>
      <w:r>
        <w:t xml:space="preserve">De </w:t>
      </w:r>
      <w:r w:rsidR="00141DD6">
        <w:t>financiële</w:t>
      </w:r>
      <w:r>
        <w:t xml:space="preserve"> positie is dus precair, waarbij w</w:t>
      </w:r>
      <w:r w:rsidR="00BD7E4A">
        <w:t>ij nog niet zien dat dit met afdoende verdienmodellen is af te dekken.</w:t>
      </w:r>
    </w:p>
    <w:p w14:paraId="0CA16AD7" w14:textId="235557DD" w:rsidR="00C666A2" w:rsidRDefault="00C666A2" w:rsidP="00C666A2">
      <w:proofErr w:type="spellStart"/>
      <w:r>
        <w:t>Mbt</w:t>
      </w:r>
      <w:proofErr w:type="spellEnd"/>
      <w:r>
        <w:t xml:space="preserve"> de begroting hebben wij de volgende technische vragen </w:t>
      </w:r>
      <w:r w:rsidR="003948ED">
        <w:t>gesteld</w:t>
      </w:r>
      <w:r>
        <w:t>:</w:t>
      </w:r>
    </w:p>
    <w:tbl>
      <w:tblPr>
        <w:tblStyle w:val="Tabelraster"/>
        <w:tblW w:w="10031" w:type="dxa"/>
        <w:tblInd w:w="-113" w:type="dxa"/>
        <w:tblLook w:val="04A0" w:firstRow="1" w:lastRow="0" w:firstColumn="1" w:lastColumn="0" w:noHBand="0" w:noVBand="1"/>
      </w:tblPr>
      <w:tblGrid>
        <w:gridCol w:w="4452"/>
        <w:gridCol w:w="5579"/>
      </w:tblGrid>
      <w:tr w:rsidR="00DB328C" w:rsidRPr="00DB328C" w14:paraId="577710DA" w14:textId="77777777" w:rsidTr="004C468E">
        <w:tc>
          <w:tcPr>
            <w:tcW w:w="4536" w:type="dxa"/>
            <w:shd w:val="clear" w:color="auto" w:fill="92D050"/>
          </w:tcPr>
          <w:p w14:paraId="7EDF51B5" w14:textId="6C0FCAE1" w:rsidR="00DB328C" w:rsidRPr="00DB328C" w:rsidRDefault="00DB328C" w:rsidP="00DB328C">
            <w:r>
              <w:t>VRAAG</w:t>
            </w:r>
          </w:p>
        </w:tc>
        <w:tc>
          <w:tcPr>
            <w:tcW w:w="5670" w:type="dxa"/>
            <w:shd w:val="clear" w:color="auto" w:fill="92D050"/>
          </w:tcPr>
          <w:p w14:paraId="584E85FD" w14:textId="20C2083E" w:rsidR="00DB328C" w:rsidRPr="00DB328C" w:rsidRDefault="00DB328C" w:rsidP="00DB328C">
            <w:r>
              <w:t>ANTWOORD</w:t>
            </w:r>
          </w:p>
        </w:tc>
      </w:tr>
      <w:tr w:rsidR="00DB328C" w:rsidRPr="00DB328C" w14:paraId="7573AAE7" w14:textId="6549DD25" w:rsidTr="004C468E">
        <w:tc>
          <w:tcPr>
            <w:tcW w:w="4536" w:type="dxa"/>
          </w:tcPr>
          <w:p w14:paraId="7A2EEE2A" w14:textId="77777777" w:rsidR="00DB328C" w:rsidRPr="00DB328C" w:rsidRDefault="00DB328C" w:rsidP="00DB328C">
            <w:r w:rsidRPr="00DB328C">
              <w:t xml:space="preserve">Onder 3.1 Gebiedsbeheer zien we forse stijging in de lasten (ca 5 ton tussen 2025 en 2026) die </w:t>
            </w:r>
            <w:r w:rsidRPr="00DB328C">
              <w:lastRenderedPageBreak/>
              <w:t>verklaard wordt door meerkosten TBM. Kan dat nader gespecificeerd worden?</w:t>
            </w:r>
          </w:p>
        </w:tc>
        <w:tc>
          <w:tcPr>
            <w:tcW w:w="5670" w:type="dxa"/>
          </w:tcPr>
          <w:p w14:paraId="5DB5B09A" w14:textId="5FD5DA13" w:rsidR="00DB328C" w:rsidRPr="00DB328C" w:rsidRDefault="00C06C37" w:rsidP="00DB328C">
            <w:r w:rsidRPr="00C06C37">
              <w:lastRenderedPageBreak/>
              <w:t xml:space="preserve">De grote wijziging op product Uitvoeren Terreinbeheer (TBM) betreft tevens een verschuiving tussen Materiele en Personele kosten. Verder is (ondanks de zeer forse </w:t>
            </w:r>
            <w:r w:rsidRPr="00C06C37">
              <w:lastRenderedPageBreak/>
              <w:t>administratieve bezuinigingen) een meerjarige planning voor GO</w:t>
            </w:r>
            <w:r w:rsidR="004C468E">
              <w:t xml:space="preserve"> (Groot Onderhoud)</w:t>
            </w:r>
            <w:r w:rsidRPr="00C06C37">
              <w:t xml:space="preserve"> </w:t>
            </w:r>
            <w:proofErr w:type="spellStart"/>
            <w:r w:rsidRPr="00C06C37">
              <w:t>obv</w:t>
            </w:r>
            <w:proofErr w:type="spellEnd"/>
            <w:r w:rsidRPr="00C06C37">
              <w:t xml:space="preserve"> TBM in de begroting opgenomen welke een hogere dotatie aan de voorziening vraagt dan voorheen aanwezig was.</w:t>
            </w:r>
          </w:p>
        </w:tc>
      </w:tr>
      <w:tr w:rsidR="00DB328C" w:rsidRPr="00DB328C" w14:paraId="7FD0CF3F" w14:textId="0677994C" w:rsidTr="004C468E">
        <w:tc>
          <w:tcPr>
            <w:tcW w:w="4536" w:type="dxa"/>
          </w:tcPr>
          <w:p w14:paraId="7170649D" w14:textId="3E3C136E" w:rsidR="00DB328C" w:rsidRPr="00DB328C" w:rsidRDefault="00DB328C" w:rsidP="00DB328C">
            <w:r w:rsidRPr="00DB328C">
              <w:t>Vervolgens zien we daar</w:t>
            </w:r>
            <w:r w:rsidR="00CE17C3">
              <w:t xml:space="preserve"> (3.1)</w:t>
            </w:r>
            <w:r w:rsidRPr="00DB328C">
              <w:t xml:space="preserve"> forse schommelingen in de Baten. Nog bijna 2 miljoen in 2024, begroting 25 zakt n</w:t>
            </w:r>
            <w:r w:rsidR="0080548F">
              <w:t>a</w:t>
            </w:r>
            <w:r w:rsidRPr="00DB328C">
              <w:t>ar 1,3 miljoen en begroting 26 stijgt weer naar 1,6 miljoen. Verklaring?</w:t>
            </w:r>
          </w:p>
        </w:tc>
        <w:tc>
          <w:tcPr>
            <w:tcW w:w="5670" w:type="dxa"/>
          </w:tcPr>
          <w:p w14:paraId="3540A3EB" w14:textId="32E7E03A" w:rsidR="00DB328C" w:rsidRPr="00DB328C" w:rsidRDefault="00C06C37" w:rsidP="00DB328C">
            <w:r w:rsidRPr="00C06C37">
              <w:t xml:space="preserve">De Baten in de begroting 25 zijn gezien de beleidsarme begroting 2025 gelijk aan de </w:t>
            </w:r>
            <w:r w:rsidRPr="00C06C37">
              <w:t>geïndexeerde</w:t>
            </w:r>
            <w:r w:rsidRPr="00C06C37">
              <w:t xml:space="preserve"> </w:t>
            </w:r>
            <w:r w:rsidRPr="004D47C7">
              <w:rPr>
                <w:u w:val="single"/>
              </w:rPr>
              <w:t>begroting</w:t>
            </w:r>
            <w:r w:rsidRPr="00C06C37">
              <w:t xml:space="preserve"> 2024. Omdat gebleken is dat de baten structureel hoger zijn</w:t>
            </w:r>
            <w:r w:rsidR="0080548F">
              <w:t>,</w:t>
            </w:r>
            <w:r w:rsidRPr="00C06C37">
              <w:t xml:space="preserve"> is voor 2026 een meer realistische inschatting opgenomen, welke meer in lijn is met de realisatie 2024. Dit veroorzaakt de "schommelingen" in de jaren 2024 - 2026</w:t>
            </w:r>
          </w:p>
        </w:tc>
      </w:tr>
      <w:tr w:rsidR="00DB328C" w:rsidRPr="00DB328C" w14:paraId="3A306A35" w14:textId="5D85A1ED" w:rsidTr="004C468E">
        <w:tc>
          <w:tcPr>
            <w:tcW w:w="4536" w:type="dxa"/>
          </w:tcPr>
          <w:p w14:paraId="08AB999A" w14:textId="71F78D76" w:rsidR="00DB328C" w:rsidRPr="00DB328C" w:rsidRDefault="00DB328C" w:rsidP="00DB328C">
            <w:r w:rsidRPr="00DB328C">
              <w:t xml:space="preserve">Onder 3.2 Ontwikkeling werkgebied VVP wordt </w:t>
            </w:r>
            <w:proofErr w:type="spellStart"/>
            <w:r w:rsidRPr="00DB328C">
              <w:t>mbt</w:t>
            </w:r>
            <w:proofErr w:type="spellEnd"/>
            <w:r w:rsidRPr="00DB328C">
              <w:t xml:space="preserve"> verkochte legakkers gesteld “Er zijn drie eigenaren -van de in 2017 verkochte legakkers- die de beschoeiingsplicht nog niet (volledig) zijn nagekomen”. Maar in de RIB van het college van 8 april </w:t>
            </w:r>
            <w:proofErr w:type="spellStart"/>
            <w:r w:rsidRPr="00DB328C">
              <w:t>jl</w:t>
            </w:r>
            <w:proofErr w:type="spellEnd"/>
            <w:r w:rsidRPr="00DB328C">
              <w:t xml:space="preserve"> lezen we dat van de 20 met </w:t>
            </w:r>
            <w:proofErr w:type="spellStart"/>
            <w:r w:rsidRPr="00DB328C">
              <w:t>beschoeingplicht</w:t>
            </w:r>
            <w:proofErr w:type="spellEnd"/>
            <w:r w:rsidRPr="00DB328C">
              <w:t xml:space="preserve"> er nog maar 10 beschoeid zijn. Dat is tegenstrijdige informatie. </w:t>
            </w:r>
            <w:r w:rsidRPr="00DB328C">
              <w:rPr>
                <w:u w:val="single"/>
              </w:rPr>
              <w:t>Hoe zit dat nu</w:t>
            </w:r>
            <w:r w:rsidRPr="00DB328C">
              <w:t>?</w:t>
            </w:r>
          </w:p>
        </w:tc>
        <w:tc>
          <w:tcPr>
            <w:tcW w:w="5670" w:type="dxa"/>
          </w:tcPr>
          <w:p w14:paraId="17FA51FE" w14:textId="77777777" w:rsidR="00C06C37" w:rsidRDefault="00C06C37" w:rsidP="00C06C37">
            <w:r>
              <w:t>Van de 10 legakkers die in de RIB genoemd zijn:</w:t>
            </w:r>
          </w:p>
          <w:p w14:paraId="79283DA2" w14:textId="7E5EE2B1" w:rsidR="00C06C37" w:rsidRDefault="00C06C37" w:rsidP="00C06C37">
            <w:r>
              <w:t>1.</w:t>
            </w:r>
            <w:r>
              <w:t xml:space="preserve"> </w:t>
            </w:r>
            <w:r>
              <w:t>Zijn er 6 (zoals ook vermeld) eigendom van 3 eigenaren waarmee afspraken over uitstel zijn gemaakt om verschillende redenen.</w:t>
            </w:r>
          </w:p>
          <w:p w14:paraId="17D1712E" w14:textId="3B51743F" w:rsidR="00C06C37" w:rsidRDefault="00C06C37" w:rsidP="00C06C37">
            <w:r>
              <w:t>2.</w:t>
            </w:r>
            <w:r>
              <w:t xml:space="preserve"> </w:t>
            </w:r>
            <w:r>
              <w:t>Zijn er 2 waarvan inmiddels bij inspectie is vastgesteld dat ze wel beschoeid zijn. Ik weet niet of de beschoeiing recent gebeurd is of dat dit bij eerdere inspecties niet is vastgesteld.</w:t>
            </w:r>
          </w:p>
          <w:p w14:paraId="6AA1F370" w14:textId="025A0CCF" w:rsidR="00DB328C" w:rsidRPr="00DB328C" w:rsidRDefault="00C06C37" w:rsidP="00C06C37">
            <w:r>
              <w:t>3.</w:t>
            </w:r>
            <w:r>
              <w:t xml:space="preserve"> </w:t>
            </w:r>
            <w:r>
              <w:t>Zijn er 2 van een eigenaar die een groter aantal eilanden heeft. Deze eigenaar voert een pilot uit met natuurvriendelijk beschoeien van legakkers. Daarbij is er ten onrechte van uit gegaan dat de 2 nog niet beschoeide legakkers onderdeel waren van de omgevingsvergunning voor de natuurvriendelijke oevers. Hierover wordt met de eigenaar gesproken.</w:t>
            </w:r>
          </w:p>
        </w:tc>
      </w:tr>
      <w:tr w:rsidR="00DB328C" w:rsidRPr="00DB328C" w14:paraId="0D38F58E" w14:textId="48AC7498" w:rsidTr="004C468E">
        <w:tc>
          <w:tcPr>
            <w:tcW w:w="4536" w:type="dxa"/>
          </w:tcPr>
          <w:p w14:paraId="6E67551C" w14:textId="77777777" w:rsidR="00DB328C" w:rsidRPr="00DB328C" w:rsidRDefault="00DB328C" w:rsidP="00DB328C">
            <w:r w:rsidRPr="00DB328C">
              <w:t>Er wordt nogal een hele passage aan juridische diensten gewijd. Dat lijkt erop dat er veel juridische kwesties langskomen. Is daar een beeld van? En we nemen aan dat dit alleen betrekking heeft op de terreinen die in eigendom van SGL zijn?</w:t>
            </w:r>
          </w:p>
        </w:tc>
        <w:tc>
          <w:tcPr>
            <w:tcW w:w="5670" w:type="dxa"/>
          </w:tcPr>
          <w:p w14:paraId="1B01B660" w14:textId="74872A62" w:rsidR="00DB328C" w:rsidRPr="00DB328C" w:rsidRDefault="00EC12C0" w:rsidP="00DB328C">
            <w:r w:rsidRPr="00EC12C0">
              <w:t>Zoals in het Concept Jaarverslag 2024 is aangegeven heeft juridische ondersteuning voor SGL onder meer plaatsgevonden inzake handhaving van de beschoeiingsplicht Legakkers VVP, de herbestemming legakkers naar Natuur en heeft een juridische toets plaatsgevonden t.a.v. verschillende overeenkomsten/contracten. Daarnaast verlangt de Wet Open Overheid (WOO) adequate respons en ook het eerdere duikongeval behoeft aandacht / capaciteit</w:t>
            </w:r>
          </w:p>
        </w:tc>
      </w:tr>
      <w:tr w:rsidR="00DB328C" w:rsidRPr="00DB328C" w14:paraId="3E1CE2A3" w14:textId="58196526" w:rsidTr="004C468E">
        <w:tc>
          <w:tcPr>
            <w:tcW w:w="4536" w:type="dxa"/>
          </w:tcPr>
          <w:p w14:paraId="5D310F18" w14:textId="77777777" w:rsidR="00DB328C" w:rsidRPr="00DB328C" w:rsidRDefault="00DB328C" w:rsidP="00DB328C">
            <w:r w:rsidRPr="00DB328C">
              <w:t xml:space="preserve">Is er een specificatie te geven waar de forse nieuwe leningen (tabel </w:t>
            </w:r>
            <w:proofErr w:type="spellStart"/>
            <w:r w:rsidRPr="00DB328C">
              <w:t>pag</w:t>
            </w:r>
            <w:proofErr w:type="spellEnd"/>
            <w:r w:rsidRPr="00DB328C">
              <w:t xml:space="preserve"> 21) voor nodig zijn. We nemen aan beschoeiingen, maar is dat het enige? Leningen tellen over 2025-2027 op tot bijna 4 miljoen, maar investeringen (tabel </w:t>
            </w:r>
            <w:proofErr w:type="spellStart"/>
            <w:r w:rsidRPr="00DB328C">
              <w:t>pag</w:t>
            </w:r>
            <w:proofErr w:type="spellEnd"/>
            <w:r w:rsidRPr="00DB328C">
              <w:t xml:space="preserve"> 27, alleen 2026 en 2027) laat </w:t>
            </w:r>
            <w:proofErr w:type="spellStart"/>
            <w:r w:rsidRPr="00DB328C">
              <w:t>mn</w:t>
            </w:r>
            <w:proofErr w:type="spellEnd"/>
            <w:r w:rsidRPr="00DB328C">
              <w:t xml:space="preserve"> voor 2026 ander bedrag zien. (lening ca 1,1 </w:t>
            </w:r>
            <w:proofErr w:type="spellStart"/>
            <w:r w:rsidRPr="00DB328C">
              <w:t>mio</w:t>
            </w:r>
            <w:proofErr w:type="spellEnd"/>
            <w:r w:rsidRPr="00DB328C">
              <w:t xml:space="preserve">, investering ca 7 ton). Betreft overigens </w:t>
            </w:r>
            <w:proofErr w:type="spellStart"/>
            <w:r w:rsidRPr="00DB328C">
              <w:t>prog</w:t>
            </w:r>
            <w:proofErr w:type="spellEnd"/>
            <w:r w:rsidRPr="00DB328C">
              <w:t xml:space="preserve"> B. </w:t>
            </w:r>
          </w:p>
        </w:tc>
        <w:tc>
          <w:tcPr>
            <w:tcW w:w="5670" w:type="dxa"/>
          </w:tcPr>
          <w:p w14:paraId="614A549E" w14:textId="6F6AA4E7" w:rsidR="00DB328C" w:rsidRPr="00DB328C" w:rsidRDefault="004C468E" w:rsidP="00DB328C">
            <w:r w:rsidRPr="004C468E">
              <w:t>Dit betreft met name de oeverbeschoeiingen en steigers die niet in het project zelf zijn opgenomen. Daarnaast zijn met het doorvoeren van de bezuinigingen in de MJP GO veel vervangingen (VO) gekapitaliseerd naar de Vervangingsinvesteringen (VI). Deze worden niet uit de voorziening gedekt en voor deze nog steeds noodzakelijke vervangingen zijn separate middelen nodig.</w:t>
            </w:r>
          </w:p>
        </w:tc>
      </w:tr>
    </w:tbl>
    <w:p w14:paraId="0E7038AD" w14:textId="77777777" w:rsidR="004C468E" w:rsidRDefault="00BD7E4A" w:rsidP="008B3166">
      <w:r>
        <w:t xml:space="preserve"> </w:t>
      </w:r>
    </w:p>
    <w:p w14:paraId="7327DE84" w14:textId="2A1BFAC6" w:rsidR="008B3166" w:rsidRPr="008B3166" w:rsidRDefault="00141DD6" w:rsidP="008B3166">
      <w:r>
        <w:rPr>
          <w:b/>
          <w:bCs/>
        </w:rPr>
        <w:t>Toekomstvisie</w:t>
      </w:r>
      <w:r w:rsidR="008B3166" w:rsidRPr="008B3166">
        <w:rPr>
          <w:b/>
          <w:bCs/>
        </w:rPr>
        <w:t>.</w:t>
      </w:r>
    </w:p>
    <w:p w14:paraId="133AEDCD" w14:textId="275BEE95" w:rsidR="00044FD4" w:rsidRDefault="00044FD4" w:rsidP="008B3166">
      <w:r>
        <w:t xml:space="preserve">Bij het uitwerken van de toekomstvisie is gekozen voor een gecombineerde aanpak van de gebieden van SGL en van SBB. Op zich een begrijpelijke keuze, omdat die gebieden vaak aan elkaar grenzen en relatie met elkaar hebben. </w:t>
      </w:r>
      <w:r w:rsidR="000E10A2">
        <w:t xml:space="preserve">Er zit wel een risico in, dat het wat minder transparant kan zijn waarop ingezet wordt. </w:t>
      </w:r>
    </w:p>
    <w:p w14:paraId="02C26B2F" w14:textId="31D93A8C" w:rsidR="008B3166" w:rsidRDefault="00141DD6" w:rsidP="008B3166">
      <w:r>
        <w:lastRenderedPageBreak/>
        <w:t>Wij hebben dit document doorgenom</w:t>
      </w:r>
      <w:r w:rsidR="00CE5FA0">
        <w:t>en</w:t>
      </w:r>
      <w:r w:rsidR="008B3166" w:rsidRPr="008B3166">
        <w:t>.</w:t>
      </w:r>
      <w:r w:rsidR="00CE5FA0">
        <w:t xml:space="preserve"> </w:t>
      </w:r>
      <w:r w:rsidR="00D97907">
        <w:t>De beschrijving van Cluster 5 geeft een helder beeld van de actuele situatie en de ontwikkelmogelijkheden. Die zijn beperkt</w:t>
      </w:r>
      <w:r w:rsidR="00044FD4">
        <w:t xml:space="preserve"> waarbij</w:t>
      </w:r>
      <w:r w:rsidR="000E10A2">
        <w:t xml:space="preserve"> de meeste ontwikkelmogelijkheden lijken te liggen in </w:t>
      </w:r>
      <w:r w:rsidR="00DA31AA">
        <w:t>het SBB gebied (</w:t>
      </w:r>
      <w:proofErr w:type="spellStart"/>
      <w:r w:rsidR="00DA31AA">
        <w:t>Marickenland</w:t>
      </w:r>
      <w:proofErr w:type="spellEnd"/>
      <w:r w:rsidR="00DA31AA">
        <w:t>) en veel minder in het VVP gebied.</w:t>
      </w:r>
    </w:p>
    <w:p w14:paraId="4347A9D9" w14:textId="5DE81FAB" w:rsidR="00D12DF2" w:rsidRDefault="00D12DF2" w:rsidP="008B3166">
      <w:r>
        <w:t xml:space="preserve">Omdat de rol van de provincie </w:t>
      </w:r>
      <w:proofErr w:type="spellStart"/>
      <w:r>
        <w:t>mbt</w:t>
      </w:r>
      <w:proofErr w:type="spellEnd"/>
      <w:r>
        <w:t xml:space="preserve"> gebruiksmogelijkheden groot is (zie ook de ontwikkeling van het bestemmingsplan)</w:t>
      </w:r>
      <w:r w:rsidR="000120B4">
        <w:t xml:space="preserve"> en dat de verdienmodellen beperkend </w:t>
      </w:r>
      <w:r w:rsidR="00FA3750">
        <w:t>beïnvloed</w:t>
      </w:r>
      <w:r w:rsidR="000120B4">
        <w:t xml:space="preserve"> terwijl de onderhoudskosten significant zijn, </w:t>
      </w:r>
      <w:r w:rsidR="00FA3750">
        <w:t>lijkt ons een ge</w:t>
      </w:r>
      <w:r w:rsidR="00311374">
        <w:t>s</w:t>
      </w:r>
      <w:r w:rsidR="00FA3750">
        <w:t xml:space="preserve">prek met de provincie over de toekomst van beheer en onderhoud in samenhang met de </w:t>
      </w:r>
      <w:r w:rsidR="00311374">
        <w:t>h</w:t>
      </w:r>
      <w:r w:rsidR="00FA3750">
        <w:t>oog oplopende kosten en</w:t>
      </w:r>
      <w:r w:rsidR="00311374">
        <w:t xml:space="preserve"> minimale mogelijkheden </w:t>
      </w:r>
      <w:proofErr w:type="spellStart"/>
      <w:r w:rsidR="00311374">
        <w:t>mbt</w:t>
      </w:r>
      <w:proofErr w:type="spellEnd"/>
      <w:r w:rsidR="00311374">
        <w:t xml:space="preserve"> baten</w:t>
      </w:r>
      <w:r w:rsidR="00FF5A60">
        <w:t xml:space="preserve"> op zijn plaats. Of te wel, hoeveel mag het de provincie kosten om de natuur in het gebied van de VVP te behouden. </w:t>
      </w:r>
    </w:p>
    <w:p w14:paraId="08402C2B" w14:textId="1C357F0B" w:rsidR="00902041" w:rsidRDefault="000D3275" w:rsidP="00902041">
      <w:r>
        <w:t>Daarnaast</w:t>
      </w:r>
      <w:r w:rsidR="00902041">
        <w:t xml:space="preserve">, aanhakend bij opmerkingen in de </w:t>
      </w:r>
      <w:r w:rsidR="00902041" w:rsidRPr="003D756A">
        <w:rPr>
          <w:u w:val="single"/>
        </w:rPr>
        <w:t>toekomstvisie</w:t>
      </w:r>
      <w:r w:rsidR="00834DB8">
        <w:rPr>
          <w:rStyle w:val="Eindnootmarkering"/>
        </w:rPr>
        <w:endnoteReference w:id="1"/>
      </w:r>
      <w:r w:rsidR="00902041">
        <w:t xml:space="preserve">, </w:t>
      </w:r>
      <w:r w:rsidR="00AF16DD">
        <w:t>zou ons advies zijn om e</w:t>
      </w:r>
      <w:r w:rsidR="00902041">
        <w:t xml:space="preserve">en strategie </w:t>
      </w:r>
      <w:r w:rsidR="00AF16DD">
        <w:t xml:space="preserve">te ontwikkelen waarbij </w:t>
      </w:r>
      <w:r w:rsidR="00902041">
        <w:t xml:space="preserve">ondernemers </w:t>
      </w:r>
      <w:r w:rsidR="00AF16DD">
        <w:t xml:space="preserve">worden uitgedaagd </w:t>
      </w:r>
      <w:r w:rsidR="00902041">
        <w:t>met verdienmodellen te komen</w:t>
      </w:r>
      <w:r w:rsidR="0059508A">
        <w:t xml:space="preserve"> (zie ook de concept zienswijze).</w:t>
      </w:r>
    </w:p>
    <w:p w14:paraId="4E2EF9AD" w14:textId="317C0042" w:rsidR="001A6E68" w:rsidRDefault="001A6E68" w:rsidP="001E0084"/>
    <w:p w14:paraId="14937B5E" w14:textId="3D688129" w:rsidR="001A6E68" w:rsidRDefault="001A6E68" w:rsidP="001E0084">
      <w:r>
        <w:t>Met collegiale groet</w:t>
      </w:r>
    </w:p>
    <w:p w14:paraId="612A202A" w14:textId="4F89528A" w:rsidR="001A6E68" w:rsidRDefault="001A6E68" w:rsidP="001E0084">
      <w:r>
        <w:t xml:space="preserve">Ernst Schreurs en Wim Stam. </w:t>
      </w:r>
    </w:p>
    <w:sectPr w:rsidR="001A6E68" w:rsidSect="00F703DC">
      <w:headerReference w:type="default" r:id="rId8"/>
      <w:footerReference w:type="default" r:id="rId9"/>
      <w:pgSz w:w="11906" w:h="16838"/>
      <w:pgMar w:top="1843"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5F881" w14:textId="77777777" w:rsidR="00857BF6" w:rsidRDefault="00857BF6" w:rsidP="001E0084">
      <w:pPr>
        <w:spacing w:after="0" w:line="240" w:lineRule="auto"/>
      </w:pPr>
      <w:r>
        <w:separator/>
      </w:r>
    </w:p>
  </w:endnote>
  <w:endnote w:type="continuationSeparator" w:id="0">
    <w:p w14:paraId="7070B14D" w14:textId="77777777" w:rsidR="00857BF6" w:rsidRDefault="00857BF6" w:rsidP="001E0084">
      <w:pPr>
        <w:spacing w:after="0" w:line="240" w:lineRule="auto"/>
      </w:pPr>
      <w:r>
        <w:continuationSeparator/>
      </w:r>
    </w:p>
  </w:endnote>
  <w:endnote w:id="1">
    <w:p w14:paraId="3F255E56" w14:textId="2E7EBA9C" w:rsidR="00834DB8" w:rsidRDefault="00834DB8">
      <w:pPr>
        <w:pStyle w:val="Eindnoottekst"/>
      </w:pPr>
      <w:r>
        <w:rPr>
          <w:rStyle w:val="Eindnootmarkering"/>
        </w:rPr>
        <w:endnoteRef/>
      </w:r>
      <w:r>
        <w:t xml:space="preserve"> </w:t>
      </w:r>
      <w:r w:rsidR="008E02DA" w:rsidRPr="008E02DA">
        <w:t xml:space="preserve"> </w:t>
      </w:r>
      <w:r w:rsidR="008E02DA">
        <w:t>“</w:t>
      </w:r>
      <w:r w:rsidR="008E02DA" w:rsidRPr="008E02DA">
        <w:t>Commercieel en sociaal ondernemerschap biedt kansen om recreatiewaarde en beleving van de gebieden te versterken. De exploitatie-inkomsten zijn noodzakelijk om de stijgende beheerkosten te dekken.</w:t>
      </w:r>
      <w:r w:rsidR="008E02DA">
        <w:t>” (</w:t>
      </w:r>
      <w:proofErr w:type="spellStart"/>
      <w:r w:rsidR="008E02DA">
        <w:t>pag</w:t>
      </w:r>
      <w:proofErr w:type="spellEnd"/>
      <w:r w:rsidR="008E02DA">
        <w:t xml:space="preserve"> 7 Toekomstvisie)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77E15" w14:textId="3E8DDF0B" w:rsidR="001E0084" w:rsidRPr="00FD2A50" w:rsidRDefault="001E0084" w:rsidP="001E0084">
    <w:pPr>
      <w:pStyle w:val="Voettekst"/>
      <w:pBdr>
        <w:top w:val="single" w:sz="4" w:space="1" w:color="auto"/>
      </w:pBdr>
      <w:rPr>
        <w:color w:val="538135" w:themeColor="accent6" w:themeShade="BF"/>
        <w:sz w:val="20"/>
        <w:szCs w:val="20"/>
      </w:rPr>
    </w:pPr>
    <w:r w:rsidRPr="00FD2A50">
      <w:rPr>
        <w:color w:val="538135" w:themeColor="accent6" w:themeShade="BF"/>
        <w:sz w:val="20"/>
        <w:szCs w:val="20"/>
      </w:rPr>
      <w:fldChar w:fldCharType="begin"/>
    </w:r>
    <w:r w:rsidRPr="00FD2A50">
      <w:rPr>
        <w:color w:val="538135" w:themeColor="accent6" w:themeShade="BF"/>
        <w:sz w:val="20"/>
        <w:szCs w:val="20"/>
      </w:rPr>
      <w:instrText xml:space="preserve"> FILENAME   \* MERGEFORMAT </w:instrText>
    </w:r>
    <w:r w:rsidRPr="00FD2A50">
      <w:rPr>
        <w:color w:val="538135" w:themeColor="accent6" w:themeShade="BF"/>
        <w:sz w:val="20"/>
        <w:szCs w:val="20"/>
      </w:rPr>
      <w:fldChar w:fldCharType="separate"/>
    </w:r>
    <w:r w:rsidR="00DD0026">
      <w:rPr>
        <w:noProof/>
        <w:color w:val="538135" w:themeColor="accent6" w:themeShade="BF"/>
        <w:sz w:val="20"/>
        <w:szCs w:val="20"/>
      </w:rPr>
      <w:t>Rapport-RR-SGL-202501</w:t>
    </w:r>
    <w:r w:rsidRPr="00FD2A50">
      <w:rPr>
        <w:color w:val="538135" w:themeColor="accent6" w:themeShade="BF"/>
        <w:sz w:val="20"/>
        <w:szCs w:val="20"/>
      </w:rPr>
      <w:fldChar w:fldCharType="end"/>
    </w:r>
    <w:r w:rsidRPr="00FD2A50">
      <w:rPr>
        <w:b/>
        <w:bCs/>
        <w:noProof/>
        <w:color w:val="538135" w:themeColor="accent6" w:themeShade="BF"/>
        <w:sz w:val="20"/>
        <w:szCs w:val="20"/>
      </w:rPr>
      <w:drawing>
        <wp:anchor distT="0" distB="0" distL="114300" distR="114300" simplePos="0" relativeHeight="251659264" behindDoc="0" locked="0" layoutInCell="1" allowOverlap="1" wp14:anchorId="7B3A2C45" wp14:editId="3A4BAA19">
          <wp:simplePos x="0" y="0"/>
          <wp:positionH relativeFrom="column">
            <wp:posOffset>4967490</wp:posOffset>
          </wp:positionH>
          <wp:positionV relativeFrom="paragraph">
            <wp:posOffset>-179821</wp:posOffset>
          </wp:positionV>
          <wp:extent cx="1315720" cy="526415"/>
          <wp:effectExtent l="0" t="0" r="0" b="6985"/>
          <wp:wrapSquare wrapText="bothSides"/>
          <wp:docPr id="1" name="Afbeelding 1" descr="Afbeelding met Lettertype, tekst,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Lettertype, tekst, logo, Graphics&#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5720" cy="526415"/>
                  </a:xfrm>
                  <a:prstGeom prst="rect">
                    <a:avLst/>
                  </a:prstGeom>
                </pic:spPr>
              </pic:pic>
            </a:graphicData>
          </a:graphic>
          <wp14:sizeRelH relativeFrom="margin">
            <wp14:pctWidth>0</wp14:pctWidth>
          </wp14:sizeRelH>
          <wp14:sizeRelV relativeFrom="margin">
            <wp14:pctHeight>0</wp14:pctHeight>
          </wp14:sizeRelV>
        </wp:anchor>
      </w:drawing>
    </w:r>
    <w:r w:rsidRPr="00FD2A50">
      <w:rPr>
        <w:color w:val="538135" w:themeColor="accent6" w:themeShade="BF"/>
        <w:sz w:val="20"/>
        <w:szCs w:val="20"/>
      </w:rPr>
      <w:t xml:space="preserve"> / </w:t>
    </w:r>
    <w:r w:rsidR="004C468E">
      <w:rPr>
        <w:color w:val="538135" w:themeColor="accent6" w:themeShade="BF"/>
        <w:sz w:val="20"/>
        <w:szCs w:val="20"/>
      </w:rPr>
      <w:t>2</w:t>
    </w:r>
    <w:r w:rsidR="003948ED">
      <w:rPr>
        <w:color w:val="538135" w:themeColor="accent6" w:themeShade="BF"/>
        <w:sz w:val="20"/>
        <w:szCs w:val="20"/>
      </w:rPr>
      <w:t>1</w:t>
    </w:r>
    <w:r w:rsidR="00DD0026">
      <w:rPr>
        <w:color w:val="538135" w:themeColor="accent6" w:themeShade="BF"/>
        <w:sz w:val="20"/>
        <w:szCs w:val="20"/>
      </w:rPr>
      <w:t>-5</w:t>
    </w:r>
    <w:r w:rsidR="0019163C">
      <w:rPr>
        <w:color w:val="538135" w:themeColor="accent6" w:themeShade="BF"/>
        <w:sz w:val="20"/>
        <w:szCs w:val="20"/>
      </w:rPr>
      <w:t>-202</w:t>
    </w:r>
    <w:r w:rsidR="00DD0026">
      <w:rPr>
        <w:color w:val="538135" w:themeColor="accent6" w:themeShade="BF"/>
        <w:sz w:val="20"/>
        <w:szCs w:val="20"/>
      </w:rPr>
      <w:t>5</w:t>
    </w:r>
    <w:r w:rsidRPr="00FD2A50">
      <w:rPr>
        <w:color w:val="538135" w:themeColor="accent6" w:themeShade="BF"/>
        <w:sz w:val="20"/>
        <w:szCs w:val="20"/>
      </w:rPr>
      <w:t xml:space="preserve"> / Pagina </w:t>
    </w:r>
    <w:r w:rsidRPr="00FD2A50">
      <w:rPr>
        <w:b/>
        <w:bCs/>
        <w:color w:val="538135" w:themeColor="accent6" w:themeShade="BF"/>
        <w:sz w:val="20"/>
        <w:szCs w:val="20"/>
      </w:rPr>
      <w:fldChar w:fldCharType="begin"/>
    </w:r>
    <w:r w:rsidRPr="00FD2A50">
      <w:rPr>
        <w:b/>
        <w:bCs/>
        <w:color w:val="538135" w:themeColor="accent6" w:themeShade="BF"/>
        <w:sz w:val="20"/>
        <w:szCs w:val="20"/>
      </w:rPr>
      <w:instrText>PAGE  \* Arabic  \* MERGEFORMAT</w:instrText>
    </w:r>
    <w:r w:rsidRPr="00FD2A50">
      <w:rPr>
        <w:b/>
        <w:bCs/>
        <w:color w:val="538135" w:themeColor="accent6" w:themeShade="BF"/>
        <w:sz w:val="20"/>
        <w:szCs w:val="20"/>
      </w:rPr>
      <w:fldChar w:fldCharType="separate"/>
    </w:r>
    <w:r w:rsidRPr="00FD2A50">
      <w:rPr>
        <w:b/>
        <w:bCs/>
        <w:color w:val="538135" w:themeColor="accent6" w:themeShade="BF"/>
        <w:sz w:val="20"/>
        <w:szCs w:val="20"/>
      </w:rPr>
      <w:t>1</w:t>
    </w:r>
    <w:r w:rsidRPr="00FD2A50">
      <w:rPr>
        <w:b/>
        <w:bCs/>
        <w:color w:val="538135" w:themeColor="accent6" w:themeShade="BF"/>
        <w:sz w:val="20"/>
        <w:szCs w:val="20"/>
      </w:rPr>
      <w:fldChar w:fldCharType="end"/>
    </w:r>
    <w:r w:rsidRPr="00FD2A50">
      <w:rPr>
        <w:color w:val="538135" w:themeColor="accent6" w:themeShade="BF"/>
        <w:sz w:val="20"/>
        <w:szCs w:val="20"/>
      </w:rPr>
      <w:t xml:space="preserve"> van </w:t>
    </w:r>
    <w:r w:rsidRPr="00FD2A50">
      <w:rPr>
        <w:b/>
        <w:bCs/>
        <w:color w:val="538135" w:themeColor="accent6" w:themeShade="BF"/>
        <w:sz w:val="20"/>
        <w:szCs w:val="20"/>
      </w:rPr>
      <w:fldChar w:fldCharType="begin"/>
    </w:r>
    <w:r w:rsidRPr="00FD2A50">
      <w:rPr>
        <w:b/>
        <w:bCs/>
        <w:color w:val="538135" w:themeColor="accent6" w:themeShade="BF"/>
        <w:sz w:val="20"/>
        <w:szCs w:val="20"/>
      </w:rPr>
      <w:instrText>NUMPAGES  \* Arabic  \* MERGEFORMAT</w:instrText>
    </w:r>
    <w:r w:rsidRPr="00FD2A50">
      <w:rPr>
        <w:b/>
        <w:bCs/>
        <w:color w:val="538135" w:themeColor="accent6" w:themeShade="BF"/>
        <w:sz w:val="20"/>
        <w:szCs w:val="20"/>
      </w:rPr>
      <w:fldChar w:fldCharType="separate"/>
    </w:r>
    <w:r w:rsidRPr="00FD2A50">
      <w:rPr>
        <w:b/>
        <w:bCs/>
        <w:color w:val="538135" w:themeColor="accent6" w:themeShade="BF"/>
        <w:sz w:val="20"/>
        <w:szCs w:val="20"/>
      </w:rPr>
      <w:t>2</w:t>
    </w:r>
    <w:r w:rsidRPr="00FD2A50">
      <w:rPr>
        <w:b/>
        <w:bCs/>
        <w:color w:val="538135" w:themeColor="accent6" w:themeShade="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1C4C7" w14:textId="77777777" w:rsidR="00857BF6" w:rsidRDefault="00857BF6" w:rsidP="001E0084">
      <w:pPr>
        <w:spacing w:after="0" w:line="240" w:lineRule="auto"/>
      </w:pPr>
      <w:r>
        <w:separator/>
      </w:r>
    </w:p>
  </w:footnote>
  <w:footnote w:type="continuationSeparator" w:id="0">
    <w:p w14:paraId="4EDA1965" w14:textId="77777777" w:rsidR="00857BF6" w:rsidRDefault="00857BF6" w:rsidP="001E00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2796" w14:textId="255425C7" w:rsidR="001E0084" w:rsidRPr="00FD2A50" w:rsidRDefault="00000000">
    <w:pPr>
      <w:pStyle w:val="Koptekst"/>
      <w:rPr>
        <w:b/>
        <w:bCs/>
        <w:color w:val="538135" w:themeColor="accent6" w:themeShade="BF"/>
        <w:sz w:val="48"/>
        <w:szCs w:val="48"/>
      </w:rPr>
    </w:pPr>
    <w:sdt>
      <w:sdtPr>
        <w:rPr>
          <w:b/>
          <w:bCs/>
          <w:color w:val="538135" w:themeColor="accent6" w:themeShade="BF"/>
          <w:sz w:val="48"/>
          <w:szCs w:val="48"/>
        </w:rPr>
        <w:id w:val="-39598704"/>
        <w:placeholder>
          <w:docPart w:val="DA4E0BAE8AEF4289B99161F70638F228"/>
        </w:placeholder>
        <w:showingPlcHdr/>
        <w15:appearance w15:val="hidden"/>
      </w:sdtPr>
      <w:sdtContent>
        <w:r w:rsidR="001E0084" w:rsidRPr="00FD2A50">
          <w:rPr>
            <w:b/>
            <w:bCs/>
            <w:color w:val="538135" w:themeColor="accent6" w:themeShade="BF"/>
            <w:sz w:val="48"/>
            <w:szCs w:val="48"/>
            <w:lang w:bidi="nl-NL"/>
          </w:rPr>
          <w:t>Memo</w:t>
        </w:r>
      </w:sdtContent>
    </w:sdt>
  </w:p>
  <w:p w14:paraId="04D797F0" w14:textId="79143B20" w:rsidR="001E0084" w:rsidRPr="00FD2A50" w:rsidRDefault="001E0084">
    <w:pPr>
      <w:pStyle w:val="Koptekst"/>
      <w:rPr>
        <w:color w:val="538135" w:themeColor="accent6" w:themeShade="BF"/>
      </w:rPr>
    </w:pPr>
    <w:r w:rsidRPr="00FD2A50">
      <w:rPr>
        <w:color w:val="538135" w:themeColor="accent6" w:themeShade="BF"/>
      </w:rPr>
      <w:t xml:space="preserve">Raadsrapporteurs De Ronde Venen inzake Stichtse </w:t>
    </w:r>
    <w:proofErr w:type="spellStart"/>
    <w:r w:rsidRPr="00FD2A50">
      <w:rPr>
        <w:color w:val="538135" w:themeColor="accent6" w:themeShade="BF"/>
      </w:rPr>
      <w:t>GroenLanden</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3457D"/>
    <w:multiLevelType w:val="hybridMultilevel"/>
    <w:tmpl w:val="35A2EA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FB2F9C"/>
    <w:multiLevelType w:val="multilevel"/>
    <w:tmpl w:val="61D0F0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85823D9"/>
    <w:multiLevelType w:val="hybridMultilevel"/>
    <w:tmpl w:val="E8BC15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9044A7B"/>
    <w:multiLevelType w:val="hybridMultilevel"/>
    <w:tmpl w:val="9A320C3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0C94BCD"/>
    <w:multiLevelType w:val="hybridMultilevel"/>
    <w:tmpl w:val="9716D6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A772DDF"/>
    <w:multiLevelType w:val="hybridMultilevel"/>
    <w:tmpl w:val="9A60ED7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ED00285"/>
    <w:multiLevelType w:val="hybridMultilevel"/>
    <w:tmpl w:val="DD4077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900364514">
    <w:abstractNumId w:val="3"/>
  </w:num>
  <w:num w:numId="2" w16cid:durableId="513307760">
    <w:abstractNumId w:val="5"/>
  </w:num>
  <w:num w:numId="3" w16cid:durableId="1596666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4698096">
    <w:abstractNumId w:val="2"/>
  </w:num>
  <w:num w:numId="5" w16cid:durableId="1639601465">
    <w:abstractNumId w:val="4"/>
  </w:num>
  <w:num w:numId="6" w16cid:durableId="1709791384">
    <w:abstractNumId w:val="0"/>
  </w:num>
  <w:num w:numId="7" w16cid:durableId="10361951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084"/>
    <w:rsid w:val="000120B4"/>
    <w:rsid w:val="00016C6A"/>
    <w:rsid w:val="00043107"/>
    <w:rsid w:val="00043B58"/>
    <w:rsid w:val="00044FD4"/>
    <w:rsid w:val="00057865"/>
    <w:rsid w:val="00086F9F"/>
    <w:rsid w:val="00090DEB"/>
    <w:rsid w:val="000D3275"/>
    <w:rsid w:val="000E10A2"/>
    <w:rsid w:val="0011462F"/>
    <w:rsid w:val="0013473E"/>
    <w:rsid w:val="00141DD6"/>
    <w:rsid w:val="0019163C"/>
    <w:rsid w:val="001A6E68"/>
    <w:rsid w:val="001D055B"/>
    <w:rsid w:val="001E0084"/>
    <w:rsid w:val="00240518"/>
    <w:rsid w:val="00273FEE"/>
    <w:rsid w:val="002B41D2"/>
    <w:rsid w:val="002C1156"/>
    <w:rsid w:val="00303EAD"/>
    <w:rsid w:val="00311374"/>
    <w:rsid w:val="00340752"/>
    <w:rsid w:val="00373C91"/>
    <w:rsid w:val="00387B0D"/>
    <w:rsid w:val="003948ED"/>
    <w:rsid w:val="003A2AEB"/>
    <w:rsid w:val="003C06B0"/>
    <w:rsid w:val="003D756A"/>
    <w:rsid w:val="003E0A72"/>
    <w:rsid w:val="003E2B17"/>
    <w:rsid w:val="003E66D2"/>
    <w:rsid w:val="00421021"/>
    <w:rsid w:val="0043131B"/>
    <w:rsid w:val="004749B6"/>
    <w:rsid w:val="004770B3"/>
    <w:rsid w:val="00486C1A"/>
    <w:rsid w:val="004C468E"/>
    <w:rsid w:val="004D47C7"/>
    <w:rsid w:val="00534DC7"/>
    <w:rsid w:val="00551AEA"/>
    <w:rsid w:val="0059508A"/>
    <w:rsid w:val="005B7813"/>
    <w:rsid w:val="005E56C2"/>
    <w:rsid w:val="00651A9D"/>
    <w:rsid w:val="006759C4"/>
    <w:rsid w:val="006D420E"/>
    <w:rsid w:val="006D6714"/>
    <w:rsid w:val="00710186"/>
    <w:rsid w:val="007A5628"/>
    <w:rsid w:val="007C1826"/>
    <w:rsid w:val="007C2C81"/>
    <w:rsid w:val="007E4B41"/>
    <w:rsid w:val="00805428"/>
    <w:rsid w:val="0080548F"/>
    <w:rsid w:val="00810457"/>
    <w:rsid w:val="00815941"/>
    <w:rsid w:val="008232AA"/>
    <w:rsid w:val="00834DB8"/>
    <w:rsid w:val="008427CC"/>
    <w:rsid w:val="00857BF6"/>
    <w:rsid w:val="008A5514"/>
    <w:rsid w:val="008A676D"/>
    <w:rsid w:val="008B3166"/>
    <w:rsid w:val="008E02DA"/>
    <w:rsid w:val="008F5F73"/>
    <w:rsid w:val="00902041"/>
    <w:rsid w:val="00917572"/>
    <w:rsid w:val="009357DC"/>
    <w:rsid w:val="00965B1C"/>
    <w:rsid w:val="009A0087"/>
    <w:rsid w:val="009A2538"/>
    <w:rsid w:val="009C180C"/>
    <w:rsid w:val="009D6973"/>
    <w:rsid w:val="00A21ADF"/>
    <w:rsid w:val="00A50BCB"/>
    <w:rsid w:val="00A97568"/>
    <w:rsid w:val="00AD233A"/>
    <w:rsid w:val="00AF16DD"/>
    <w:rsid w:val="00AF79D5"/>
    <w:rsid w:val="00B07823"/>
    <w:rsid w:val="00B27110"/>
    <w:rsid w:val="00B35556"/>
    <w:rsid w:val="00B379B6"/>
    <w:rsid w:val="00B438A7"/>
    <w:rsid w:val="00B43CDE"/>
    <w:rsid w:val="00BD629F"/>
    <w:rsid w:val="00BD7E4A"/>
    <w:rsid w:val="00BF7877"/>
    <w:rsid w:val="00C06C37"/>
    <w:rsid w:val="00C13378"/>
    <w:rsid w:val="00C51169"/>
    <w:rsid w:val="00C666A2"/>
    <w:rsid w:val="00C764E5"/>
    <w:rsid w:val="00C85BB3"/>
    <w:rsid w:val="00CC5E3C"/>
    <w:rsid w:val="00CD09B2"/>
    <w:rsid w:val="00CE17C3"/>
    <w:rsid w:val="00CE5FA0"/>
    <w:rsid w:val="00D12DF2"/>
    <w:rsid w:val="00D854DC"/>
    <w:rsid w:val="00D97907"/>
    <w:rsid w:val="00DA31AA"/>
    <w:rsid w:val="00DB2FF1"/>
    <w:rsid w:val="00DB328C"/>
    <w:rsid w:val="00DD0026"/>
    <w:rsid w:val="00E30AE4"/>
    <w:rsid w:val="00EA12FB"/>
    <w:rsid w:val="00EC12C0"/>
    <w:rsid w:val="00EC44E5"/>
    <w:rsid w:val="00EC6C54"/>
    <w:rsid w:val="00F33808"/>
    <w:rsid w:val="00F504E8"/>
    <w:rsid w:val="00F703DC"/>
    <w:rsid w:val="00FA3750"/>
    <w:rsid w:val="00FD2A50"/>
    <w:rsid w:val="00FE5B17"/>
    <w:rsid w:val="00FF2AAB"/>
    <w:rsid w:val="00FF36B1"/>
    <w:rsid w:val="00FF5A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99C1"/>
  <w15:chartTrackingRefBased/>
  <w15:docId w15:val="{4F813343-71BA-441C-866F-42060216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E008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E0084"/>
  </w:style>
  <w:style w:type="paragraph" w:styleId="Voettekst">
    <w:name w:val="footer"/>
    <w:basedOn w:val="Standaard"/>
    <w:link w:val="VoettekstChar"/>
    <w:uiPriority w:val="99"/>
    <w:unhideWhenUsed/>
    <w:rsid w:val="001E008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E0084"/>
  </w:style>
  <w:style w:type="paragraph" w:styleId="Lijstalinea">
    <w:name w:val="List Paragraph"/>
    <w:basedOn w:val="Standaard"/>
    <w:uiPriority w:val="34"/>
    <w:qFormat/>
    <w:rsid w:val="005B7813"/>
    <w:pPr>
      <w:ind w:left="720"/>
      <w:contextualSpacing/>
    </w:pPr>
  </w:style>
  <w:style w:type="paragraph" w:styleId="Eindnoottekst">
    <w:name w:val="endnote text"/>
    <w:basedOn w:val="Standaard"/>
    <w:link w:val="EindnoottekstChar"/>
    <w:uiPriority w:val="99"/>
    <w:semiHidden/>
    <w:unhideWhenUsed/>
    <w:rsid w:val="00834DB8"/>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834DB8"/>
    <w:rPr>
      <w:sz w:val="20"/>
      <w:szCs w:val="20"/>
    </w:rPr>
  </w:style>
  <w:style w:type="character" w:styleId="Eindnootmarkering">
    <w:name w:val="endnote reference"/>
    <w:basedOn w:val="Standaardalinea-lettertype"/>
    <w:uiPriority w:val="99"/>
    <w:semiHidden/>
    <w:unhideWhenUsed/>
    <w:rsid w:val="00834DB8"/>
    <w:rPr>
      <w:vertAlign w:val="superscript"/>
    </w:rPr>
  </w:style>
  <w:style w:type="paragraph" w:styleId="Voetnoottekst">
    <w:name w:val="footnote text"/>
    <w:basedOn w:val="Standaard"/>
    <w:link w:val="VoetnoottekstChar"/>
    <w:uiPriority w:val="99"/>
    <w:semiHidden/>
    <w:unhideWhenUsed/>
    <w:rsid w:val="00C51169"/>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C51169"/>
    <w:rPr>
      <w:sz w:val="20"/>
      <w:szCs w:val="20"/>
    </w:rPr>
  </w:style>
  <w:style w:type="character" w:styleId="Voetnootmarkering">
    <w:name w:val="footnote reference"/>
    <w:basedOn w:val="Standaardalinea-lettertype"/>
    <w:uiPriority w:val="99"/>
    <w:semiHidden/>
    <w:unhideWhenUsed/>
    <w:rsid w:val="00C51169"/>
    <w:rPr>
      <w:vertAlign w:val="superscript"/>
    </w:rPr>
  </w:style>
  <w:style w:type="table" w:styleId="Tabelraster">
    <w:name w:val="Table Grid"/>
    <w:basedOn w:val="Standaardtabel"/>
    <w:uiPriority w:val="39"/>
    <w:rsid w:val="00DB3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140">
      <w:bodyDiv w:val="1"/>
      <w:marLeft w:val="0"/>
      <w:marRight w:val="0"/>
      <w:marTop w:val="0"/>
      <w:marBottom w:val="0"/>
      <w:divBdr>
        <w:top w:val="none" w:sz="0" w:space="0" w:color="auto"/>
        <w:left w:val="none" w:sz="0" w:space="0" w:color="auto"/>
        <w:bottom w:val="none" w:sz="0" w:space="0" w:color="auto"/>
        <w:right w:val="none" w:sz="0" w:space="0" w:color="auto"/>
      </w:divBdr>
    </w:div>
    <w:div w:id="39324415">
      <w:bodyDiv w:val="1"/>
      <w:marLeft w:val="0"/>
      <w:marRight w:val="0"/>
      <w:marTop w:val="0"/>
      <w:marBottom w:val="0"/>
      <w:divBdr>
        <w:top w:val="none" w:sz="0" w:space="0" w:color="auto"/>
        <w:left w:val="none" w:sz="0" w:space="0" w:color="auto"/>
        <w:bottom w:val="none" w:sz="0" w:space="0" w:color="auto"/>
        <w:right w:val="none" w:sz="0" w:space="0" w:color="auto"/>
      </w:divBdr>
    </w:div>
    <w:div w:id="457839268">
      <w:bodyDiv w:val="1"/>
      <w:marLeft w:val="0"/>
      <w:marRight w:val="0"/>
      <w:marTop w:val="0"/>
      <w:marBottom w:val="0"/>
      <w:divBdr>
        <w:top w:val="none" w:sz="0" w:space="0" w:color="auto"/>
        <w:left w:val="none" w:sz="0" w:space="0" w:color="auto"/>
        <w:bottom w:val="none" w:sz="0" w:space="0" w:color="auto"/>
        <w:right w:val="none" w:sz="0" w:space="0" w:color="auto"/>
      </w:divBdr>
    </w:div>
    <w:div w:id="786772886">
      <w:bodyDiv w:val="1"/>
      <w:marLeft w:val="0"/>
      <w:marRight w:val="0"/>
      <w:marTop w:val="0"/>
      <w:marBottom w:val="0"/>
      <w:divBdr>
        <w:top w:val="none" w:sz="0" w:space="0" w:color="auto"/>
        <w:left w:val="none" w:sz="0" w:space="0" w:color="auto"/>
        <w:bottom w:val="none" w:sz="0" w:space="0" w:color="auto"/>
        <w:right w:val="none" w:sz="0" w:space="0" w:color="auto"/>
      </w:divBdr>
    </w:div>
    <w:div w:id="803043345">
      <w:bodyDiv w:val="1"/>
      <w:marLeft w:val="0"/>
      <w:marRight w:val="0"/>
      <w:marTop w:val="0"/>
      <w:marBottom w:val="0"/>
      <w:divBdr>
        <w:top w:val="none" w:sz="0" w:space="0" w:color="auto"/>
        <w:left w:val="none" w:sz="0" w:space="0" w:color="auto"/>
        <w:bottom w:val="none" w:sz="0" w:space="0" w:color="auto"/>
        <w:right w:val="none" w:sz="0" w:space="0" w:color="auto"/>
      </w:divBdr>
    </w:div>
    <w:div w:id="1208295298">
      <w:bodyDiv w:val="1"/>
      <w:marLeft w:val="0"/>
      <w:marRight w:val="0"/>
      <w:marTop w:val="0"/>
      <w:marBottom w:val="0"/>
      <w:divBdr>
        <w:top w:val="none" w:sz="0" w:space="0" w:color="auto"/>
        <w:left w:val="none" w:sz="0" w:space="0" w:color="auto"/>
        <w:bottom w:val="none" w:sz="0" w:space="0" w:color="auto"/>
        <w:right w:val="none" w:sz="0" w:space="0" w:color="auto"/>
      </w:divBdr>
    </w:div>
    <w:div w:id="1349218745">
      <w:bodyDiv w:val="1"/>
      <w:marLeft w:val="0"/>
      <w:marRight w:val="0"/>
      <w:marTop w:val="0"/>
      <w:marBottom w:val="0"/>
      <w:divBdr>
        <w:top w:val="none" w:sz="0" w:space="0" w:color="auto"/>
        <w:left w:val="none" w:sz="0" w:space="0" w:color="auto"/>
        <w:bottom w:val="none" w:sz="0" w:space="0" w:color="auto"/>
        <w:right w:val="none" w:sz="0" w:space="0" w:color="auto"/>
      </w:divBdr>
    </w:div>
    <w:div w:id="1398044958">
      <w:bodyDiv w:val="1"/>
      <w:marLeft w:val="0"/>
      <w:marRight w:val="0"/>
      <w:marTop w:val="0"/>
      <w:marBottom w:val="0"/>
      <w:divBdr>
        <w:top w:val="none" w:sz="0" w:space="0" w:color="auto"/>
        <w:left w:val="none" w:sz="0" w:space="0" w:color="auto"/>
        <w:bottom w:val="none" w:sz="0" w:space="0" w:color="auto"/>
        <w:right w:val="none" w:sz="0" w:space="0" w:color="auto"/>
      </w:divBdr>
    </w:div>
    <w:div w:id="1477070226">
      <w:bodyDiv w:val="1"/>
      <w:marLeft w:val="0"/>
      <w:marRight w:val="0"/>
      <w:marTop w:val="0"/>
      <w:marBottom w:val="0"/>
      <w:divBdr>
        <w:top w:val="none" w:sz="0" w:space="0" w:color="auto"/>
        <w:left w:val="none" w:sz="0" w:space="0" w:color="auto"/>
        <w:bottom w:val="none" w:sz="0" w:space="0" w:color="auto"/>
        <w:right w:val="none" w:sz="0" w:space="0" w:color="auto"/>
      </w:divBdr>
    </w:div>
    <w:div w:id="1547375854">
      <w:bodyDiv w:val="1"/>
      <w:marLeft w:val="0"/>
      <w:marRight w:val="0"/>
      <w:marTop w:val="0"/>
      <w:marBottom w:val="0"/>
      <w:divBdr>
        <w:top w:val="none" w:sz="0" w:space="0" w:color="auto"/>
        <w:left w:val="none" w:sz="0" w:space="0" w:color="auto"/>
        <w:bottom w:val="none" w:sz="0" w:space="0" w:color="auto"/>
        <w:right w:val="none" w:sz="0" w:space="0" w:color="auto"/>
      </w:divBdr>
    </w:div>
    <w:div w:id="1730684226">
      <w:bodyDiv w:val="1"/>
      <w:marLeft w:val="0"/>
      <w:marRight w:val="0"/>
      <w:marTop w:val="0"/>
      <w:marBottom w:val="0"/>
      <w:divBdr>
        <w:top w:val="none" w:sz="0" w:space="0" w:color="auto"/>
        <w:left w:val="none" w:sz="0" w:space="0" w:color="auto"/>
        <w:bottom w:val="none" w:sz="0" w:space="0" w:color="auto"/>
        <w:right w:val="none" w:sz="0" w:space="0" w:color="auto"/>
      </w:divBdr>
    </w:div>
    <w:div w:id="1989482245">
      <w:bodyDiv w:val="1"/>
      <w:marLeft w:val="0"/>
      <w:marRight w:val="0"/>
      <w:marTop w:val="0"/>
      <w:marBottom w:val="0"/>
      <w:divBdr>
        <w:top w:val="none" w:sz="0" w:space="0" w:color="auto"/>
        <w:left w:val="none" w:sz="0" w:space="0" w:color="auto"/>
        <w:bottom w:val="none" w:sz="0" w:space="0" w:color="auto"/>
        <w:right w:val="none" w:sz="0" w:space="0" w:color="auto"/>
      </w:divBdr>
    </w:div>
    <w:div w:id="2095396154">
      <w:bodyDiv w:val="1"/>
      <w:marLeft w:val="0"/>
      <w:marRight w:val="0"/>
      <w:marTop w:val="0"/>
      <w:marBottom w:val="0"/>
      <w:divBdr>
        <w:top w:val="none" w:sz="0" w:space="0" w:color="auto"/>
        <w:left w:val="none" w:sz="0" w:space="0" w:color="auto"/>
        <w:bottom w:val="none" w:sz="0" w:space="0" w:color="auto"/>
        <w:right w:val="none" w:sz="0" w:space="0" w:color="auto"/>
      </w:divBdr>
    </w:div>
    <w:div w:id="209990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4E0BAE8AEF4289B99161F70638F228"/>
        <w:category>
          <w:name w:val="Algemeen"/>
          <w:gallery w:val="placeholder"/>
        </w:category>
        <w:types>
          <w:type w:val="bbPlcHdr"/>
        </w:types>
        <w:behaviors>
          <w:behavior w:val="content"/>
        </w:behaviors>
        <w:guid w:val="{F76E3FED-F6B8-474F-859E-4BF14796E127}"/>
      </w:docPartPr>
      <w:docPartBody>
        <w:p w:rsidR="00AA76EE" w:rsidRDefault="00B2524A" w:rsidP="00B2524A">
          <w:pPr>
            <w:pStyle w:val="DA4E0BAE8AEF4289B99161F70638F228"/>
          </w:pPr>
          <w:r w:rsidRPr="00E244F1">
            <w:rPr>
              <w:lang w:bidi="nl-NL"/>
            </w:rPr>
            <w:t>Memo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4A"/>
    <w:rsid w:val="002C1156"/>
    <w:rsid w:val="007C3232"/>
    <w:rsid w:val="00805428"/>
    <w:rsid w:val="00864F31"/>
    <w:rsid w:val="00AA76EE"/>
    <w:rsid w:val="00AD233A"/>
    <w:rsid w:val="00B2524A"/>
    <w:rsid w:val="00D0366E"/>
    <w:rsid w:val="00FF36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A4E0BAE8AEF4289B99161F70638F228">
    <w:name w:val="DA4E0BAE8AEF4289B99161F70638F228"/>
    <w:rsid w:val="00B252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8CD3D138E59849970E680BBD41D3E5" ma:contentTypeVersion="17" ma:contentTypeDescription="Een nieuw document maken." ma:contentTypeScope="" ma:versionID="ff0d69f329e97097c0eb1c8793170e5b">
  <xsd:schema xmlns:xsd="http://www.w3.org/2001/XMLSchema" xmlns:xs="http://www.w3.org/2001/XMLSchema" xmlns:p="http://schemas.microsoft.com/office/2006/metadata/properties" xmlns:ns1="http://schemas.microsoft.com/sharepoint/v3" xmlns:ns2="f9d09fab-8f0b-48c1-8135-92bd74b96537" xmlns:ns3="c035619f-bc39-404f-ba24-5c856add935a" targetNamespace="http://schemas.microsoft.com/office/2006/metadata/properties" ma:root="true" ma:fieldsID="ff8a499c650ee90c3e3ba9d4b6bd5273" ns1:_="" ns2:_="" ns3:_="">
    <xsd:import namespace="http://schemas.microsoft.com/sharepoint/v3"/>
    <xsd:import namespace="f9d09fab-8f0b-48c1-8135-92bd74b96537"/>
    <xsd:import namespace="c035619f-bc39-404f-ba24-5c856add935a"/>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Eigenschappen van het geïntegreerd beleid voor naleving" ma:hidden="true" ma:internalName="_ip_UnifiedCompliancePolicyProperties">
      <xsd:simpleType>
        <xsd:restriction base="dms:Note"/>
      </xsd:simpleType>
    </xsd:element>
    <xsd:element name="_ip_UnifiedCompliancePolicyUIAction" ma:index="9"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09fab-8f0b-48c1-8135-92bd74b965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619f-bc39-404f-ba24-5c856add93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ec2c19-0d46-4e30-80e5-eff22b1de4a3}" ma:internalName="TaxCatchAll" ma:showField="CatchAllData" ma:web="c035619f-bc39-404f-ba24-5c856add935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9d09fab-8f0b-48c1-8135-92bd74b96537">
      <Terms xmlns="http://schemas.microsoft.com/office/infopath/2007/PartnerControls"/>
    </lcf76f155ced4ddcb4097134ff3c332f>
    <_ip_UnifiedCompliancePolicyProperties xmlns="http://schemas.microsoft.com/sharepoint/v3" xsi:nil="true"/>
    <TaxCatchAll xmlns="c035619f-bc39-404f-ba24-5c856add935a" xsi:nil="true"/>
  </documentManagement>
</p:properties>
</file>

<file path=customXml/itemProps1.xml><?xml version="1.0" encoding="utf-8"?>
<ds:datastoreItem xmlns:ds="http://schemas.openxmlformats.org/officeDocument/2006/customXml" ds:itemID="{4E6EFC61-37BF-457D-B911-68660FE0BBCD}">
  <ds:schemaRefs>
    <ds:schemaRef ds:uri="http://schemas.openxmlformats.org/officeDocument/2006/bibliography"/>
  </ds:schemaRefs>
</ds:datastoreItem>
</file>

<file path=customXml/itemProps2.xml><?xml version="1.0" encoding="utf-8"?>
<ds:datastoreItem xmlns:ds="http://schemas.openxmlformats.org/officeDocument/2006/customXml" ds:itemID="{E8186403-702F-4924-873A-1059AE277FC6}"/>
</file>

<file path=customXml/itemProps3.xml><?xml version="1.0" encoding="utf-8"?>
<ds:datastoreItem xmlns:ds="http://schemas.openxmlformats.org/officeDocument/2006/customXml" ds:itemID="{0A5EFC8C-8392-45E4-B787-DF649A1A7EA4}"/>
</file>

<file path=customXml/itemProps4.xml><?xml version="1.0" encoding="utf-8"?>
<ds:datastoreItem xmlns:ds="http://schemas.openxmlformats.org/officeDocument/2006/customXml" ds:itemID="{8CBE9F0D-EBFF-486B-8E09-5AF5418E557B}"/>
</file>

<file path=docProps/app.xml><?xml version="1.0" encoding="utf-8"?>
<Properties xmlns="http://schemas.openxmlformats.org/officeDocument/2006/extended-properties" xmlns:vt="http://schemas.openxmlformats.org/officeDocument/2006/docPropsVTypes">
  <Template>Normal</Template>
  <TotalTime>94</TotalTime>
  <Pages>3</Pages>
  <Words>1141</Words>
  <Characters>6278</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 Stam</dc:creator>
  <cp:keywords/>
  <dc:description/>
  <cp:lastModifiedBy>Wim Stam</cp:lastModifiedBy>
  <cp:revision>65</cp:revision>
  <dcterms:created xsi:type="dcterms:W3CDTF">2025-05-13T05:36:00Z</dcterms:created>
  <dcterms:modified xsi:type="dcterms:W3CDTF">2025-05-21T08:40:00Z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0x010100E38CD3D138E59849970E680BBD41D3E5</vt:lpwstr>
  </property>
</Properties>
</file>